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9C4" w:rsidRPr="003F79C4" w:rsidRDefault="003F79C4" w:rsidP="003F79C4">
      <w:pPr>
        <w:spacing w:after="0" w:line="240" w:lineRule="auto"/>
        <w:jc w:val="both"/>
        <w:textAlignment w:val="baseline"/>
        <w:outlineLvl w:val="2"/>
        <w:rPr>
          <w:rFonts w:ascii="Arial" w:eastAsia="Times New Roman" w:hAnsi="Arial" w:cs="Arial"/>
          <w:b/>
          <w:bCs/>
          <w:color w:val="333333"/>
          <w:sz w:val="25"/>
          <w:szCs w:val="25"/>
        </w:rPr>
      </w:pPr>
      <w:proofErr w:type="gramStart"/>
      <w:r w:rsidRPr="003F79C4">
        <w:rPr>
          <w:rFonts w:ascii="Arial" w:eastAsia="Times New Roman" w:hAnsi="Arial" w:cs="Arial"/>
          <w:b/>
          <w:bCs/>
          <w:color w:val="333333"/>
          <w:sz w:val="25"/>
          <w:szCs w:val="25"/>
        </w:rPr>
        <w:t>SECTION 1.</w:t>
      </w:r>
      <w:proofErr w:type="gramEnd"/>
    </w:p>
    <w:p w:rsidR="003F79C4" w:rsidRPr="003F79C4" w:rsidRDefault="003F79C4" w:rsidP="003F79C4">
      <w:pPr>
        <w:spacing w:after="0"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rPr>
        <w:t> Section 600.2 of the Penal Code is amended to read:</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bdr w:val="none" w:sz="0" w:space="0" w:color="auto" w:frame="1"/>
        </w:rPr>
        <w:t>(a) It is a crime for any person to permit any dog which is owned, harbored, or controlled by him or her to cause injury </w:t>
      </w:r>
      <w:r w:rsidRPr="00C4736E">
        <w:rPr>
          <w:rFonts w:ascii="inherit" w:eastAsia="Times New Roman" w:hAnsi="inherit" w:cs="Times New Roman"/>
          <w:iCs/>
          <w:bdr w:val="none" w:sz="0" w:space="0" w:color="auto" w:frame="1"/>
        </w:rPr>
        <w:t>to,</w:t>
      </w:r>
      <w:r w:rsidRPr="00C4736E">
        <w:rPr>
          <w:rFonts w:ascii="inherit" w:eastAsia="Times New Roman" w:hAnsi="inherit" w:cs="Times New Roman"/>
          <w:bdr w:val="none" w:sz="0" w:space="0" w:color="auto" w:frame="1"/>
        </w:rPr>
        <w:t> or the death </w:t>
      </w:r>
      <w:r w:rsidRPr="00C4736E">
        <w:rPr>
          <w:rFonts w:ascii="inherit" w:eastAsia="Times New Roman" w:hAnsi="inherit" w:cs="Times New Roman"/>
          <w:iCs/>
          <w:bdr w:val="none" w:sz="0" w:space="0" w:color="auto" w:frame="1"/>
        </w:rPr>
        <w:t>of,</w:t>
      </w:r>
      <w:r w:rsidR="00C4736E">
        <w:rPr>
          <w:rFonts w:ascii="inherit" w:eastAsia="Times New Roman" w:hAnsi="inherit" w:cs="Times New Roman"/>
          <w:bdr w:val="none" w:sz="0" w:space="0" w:color="auto" w:frame="1"/>
        </w:rPr>
        <w:t> </w:t>
      </w:r>
      <w:r w:rsidRPr="003F79C4">
        <w:rPr>
          <w:rFonts w:ascii="inherit" w:eastAsia="Times New Roman" w:hAnsi="inherit" w:cs="Times New Roman"/>
          <w:color w:val="333333"/>
          <w:bdr w:val="none" w:sz="0" w:space="0" w:color="auto" w:frame="1"/>
        </w:rPr>
        <w:t>any guide, signal, or service dog, as defined by Section 54.1 of the Civil </w:t>
      </w:r>
      <w:r w:rsidRPr="00C4736E">
        <w:rPr>
          <w:rFonts w:ascii="inherit" w:eastAsia="Times New Roman" w:hAnsi="inherit" w:cs="Times New Roman"/>
          <w:iCs/>
          <w:bdr w:val="none" w:sz="0" w:space="0" w:color="auto" w:frame="1"/>
        </w:rPr>
        <w:t>Code</w:t>
      </w:r>
      <w:r w:rsidRPr="00C4736E">
        <w:rPr>
          <w:rFonts w:ascii="inherit" w:eastAsia="Times New Roman" w:hAnsi="inherit" w:cs="Times New Roman"/>
          <w:iCs/>
          <w:color w:val="FF0000"/>
          <w:u w:val="single"/>
          <w:bdr w:val="none" w:sz="0" w:space="0" w:color="auto" w:frame="1"/>
        </w:rPr>
        <w:t>, while under the control of its handler</w:t>
      </w:r>
      <w:r w:rsidRPr="00C4736E">
        <w:rPr>
          <w:rFonts w:ascii="inherit" w:eastAsia="Times New Roman" w:hAnsi="inherit" w:cs="Times New Roman"/>
          <w:i/>
          <w:iCs/>
          <w:bdr w:val="none" w:sz="0" w:space="0" w:color="auto" w:frame="1"/>
        </w:rPr>
        <w:t>.</w:t>
      </w:r>
      <w:r w:rsidRPr="00C4736E">
        <w:rPr>
          <w:rFonts w:ascii="inherit" w:eastAsia="Times New Roman" w:hAnsi="inherit" w:cs="Times New Roman"/>
          <w:bdr w:val="none" w:sz="0" w:space="0" w:color="auto" w:frame="1"/>
        </w:rPr>
        <w:t> </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bdr w:val="none" w:sz="0" w:space="0" w:color="auto" w:frame="1"/>
        </w:rPr>
        <w:t>(b) A violation of this section is an infraction punishable by a fine not to exceed two hundred fifty dollars ($250) if the injury or death to any guide, signal, or service dog is caused by the person’s failure to exercise ordinary care in the control of his or her dog.</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bdr w:val="none" w:sz="0" w:space="0" w:color="auto" w:frame="1"/>
        </w:rPr>
        <w:t xml:space="preserve">(c) A violation of this section is a misdemeanor if the injury or death to any guide, signal, or service dog is caused by the person’s reckless disregard in the exercise of control over his or her dog, under circumstances that constitute such a departure from the conduct of a reasonable person as to be incompatible with a proper regard for the safety and life of any guide, signal, or service dog. A violation of this subdivision shall be punishable by imprisonment in a county jail not exceeding one year, or by a fine of not less than two thousand five hundred dollars ($2,500) </w:t>
      </w:r>
      <w:proofErr w:type="gramStart"/>
      <w:r w:rsidRPr="003F79C4">
        <w:rPr>
          <w:rFonts w:ascii="inherit" w:eastAsia="Times New Roman" w:hAnsi="inherit" w:cs="Times New Roman"/>
          <w:color w:val="333333"/>
          <w:bdr w:val="none" w:sz="0" w:space="0" w:color="auto" w:frame="1"/>
        </w:rPr>
        <w:t>nor</w:t>
      </w:r>
      <w:proofErr w:type="gramEnd"/>
      <w:r w:rsidRPr="003F79C4">
        <w:rPr>
          <w:rFonts w:ascii="inherit" w:eastAsia="Times New Roman" w:hAnsi="inherit" w:cs="Times New Roman"/>
          <w:color w:val="333333"/>
          <w:bdr w:val="none" w:sz="0" w:space="0" w:color="auto" w:frame="1"/>
        </w:rPr>
        <w:t xml:space="preserve"> more than five thousand dollars ($5,000), or both. The court shall consider the costs ordered pursuant to subdivision (d) when determining the amount of any fines.</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bdr w:val="none" w:sz="0" w:space="0" w:color="auto" w:frame="1"/>
        </w:rPr>
        <w:t>(d) </w:t>
      </w:r>
      <w:r w:rsidRPr="003F79C4">
        <w:rPr>
          <w:rFonts w:ascii="inherit" w:eastAsia="Times New Roman" w:hAnsi="inherit" w:cs="Times New Roman"/>
          <w:i/>
          <w:iCs/>
          <w:color w:val="0000FF"/>
          <w:bdr w:val="none" w:sz="0" w:space="0" w:color="auto" w:frame="1"/>
        </w:rPr>
        <w:t>A defendant who </w:t>
      </w:r>
      <w:r w:rsidRPr="003F79C4">
        <w:rPr>
          <w:rFonts w:ascii="inherit" w:eastAsia="Times New Roman" w:hAnsi="inherit" w:cs="Times New Roman"/>
          <w:color w:val="333333"/>
          <w:bdr w:val="none" w:sz="0" w:space="0" w:color="auto" w:frame="1"/>
        </w:rPr>
        <w:t> is convicted of a violation of this </w:t>
      </w:r>
      <w:r w:rsidRPr="003F79C4">
        <w:rPr>
          <w:rFonts w:ascii="inherit" w:eastAsia="Times New Roman" w:hAnsi="inherit" w:cs="Times New Roman"/>
          <w:i/>
          <w:iCs/>
          <w:color w:val="0000FF"/>
          <w:bdr w:val="none" w:sz="0" w:space="0" w:color="auto" w:frame="1"/>
        </w:rPr>
        <w:t>section</w:t>
      </w:r>
      <w:r w:rsidRPr="003F79C4">
        <w:rPr>
          <w:rFonts w:ascii="inherit" w:eastAsia="Times New Roman" w:hAnsi="inherit" w:cs="Times New Roman"/>
          <w:color w:val="333333"/>
          <w:bdr w:val="none" w:sz="0" w:space="0" w:color="auto" w:frame="1"/>
        </w:rPr>
        <w:t> shall be ordered to make restitution to the person with a disability who has custody or ownership of the guide, signal, or service dog for any veterinary bills and replacement costs of the dog if it is disabled or killed, </w:t>
      </w:r>
      <w:r w:rsidRPr="003F79C4">
        <w:rPr>
          <w:rFonts w:ascii="inherit" w:eastAsia="Times New Roman" w:hAnsi="inherit" w:cs="Times New Roman"/>
          <w:i/>
          <w:iCs/>
          <w:color w:val="0000FF"/>
          <w:bdr w:val="none" w:sz="0" w:space="0" w:color="auto" w:frame="1"/>
        </w:rPr>
        <w:t>medical or medical-related expenses incurred by the person with a disability as a direct result of a violation of this section, loss of wages or income incurred by the person with a disability as a direct result of a violation of this section, or </w:t>
      </w:r>
      <w:r w:rsidRPr="003F79C4">
        <w:rPr>
          <w:rFonts w:ascii="inherit" w:eastAsia="Times New Roman" w:hAnsi="inherit" w:cs="Times New Roman"/>
          <w:color w:val="333333"/>
          <w:bdr w:val="none" w:sz="0" w:space="0" w:color="auto" w:frame="1"/>
        </w:rPr>
        <w:t> other reasonable costs deemed appropriate by the court. The costs ordered pursuant to this subdivision shall be paid prior to any fines. The person with the disability may apply for compensation by the California Victim Compensation and Government Claims Board pursuant to Chapter 5 (commencing with Section 13950) of Part 4 of Division 3 of Title 2 of the Government Code, in an amount not to exceed ten thousand dollars ($10,000).</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i/>
          <w:iCs/>
          <w:color w:val="0000FF"/>
          <w:bdr w:val="none" w:sz="0" w:space="0" w:color="auto" w:frame="1"/>
        </w:rPr>
        <w:t>(e) For the purpose of this section, a “guide, signal, or service dog” also includes a dog enrolled in a training school or program, located in this state, for guide, signal, or service dogs.</w:t>
      </w:r>
    </w:p>
    <w:p w:rsidR="003F79C4" w:rsidRPr="003F79C4" w:rsidRDefault="003F79C4" w:rsidP="003F79C4">
      <w:pPr>
        <w:spacing w:after="0" w:line="240" w:lineRule="auto"/>
        <w:jc w:val="both"/>
        <w:textAlignment w:val="baseline"/>
        <w:outlineLvl w:val="2"/>
        <w:rPr>
          <w:rFonts w:ascii="Arial" w:eastAsia="Times New Roman" w:hAnsi="Arial" w:cs="Arial"/>
          <w:b/>
          <w:bCs/>
          <w:color w:val="333333"/>
          <w:sz w:val="25"/>
          <w:szCs w:val="25"/>
        </w:rPr>
      </w:pPr>
      <w:proofErr w:type="gramStart"/>
      <w:r w:rsidRPr="003F79C4">
        <w:rPr>
          <w:rFonts w:ascii="Arial" w:eastAsia="Times New Roman" w:hAnsi="Arial" w:cs="Arial"/>
          <w:b/>
          <w:bCs/>
          <w:color w:val="333333"/>
          <w:sz w:val="25"/>
          <w:szCs w:val="25"/>
        </w:rPr>
        <w:t>SEC. 2.</w:t>
      </w:r>
      <w:proofErr w:type="gramEnd"/>
    </w:p>
    <w:p w:rsidR="003F79C4" w:rsidRPr="003F79C4" w:rsidRDefault="003F79C4" w:rsidP="003F79C4">
      <w:pPr>
        <w:spacing w:after="0"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rPr>
        <w:t> Section 600.5 of the Penal Code is amended to read:</w:t>
      </w:r>
    </w:p>
    <w:p w:rsidR="003F79C4" w:rsidRPr="003F79C4" w:rsidRDefault="003F79C4" w:rsidP="003F79C4">
      <w:pPr>
        <w:spacing w:line="330" w:lineRule="atLeast"/>
        <w:jc w:val="both"/>
        <w:textAlignment w:val="baseline"/>
        <w:rPr>
          <w:rFonts w:ascii="inherit" w:eastAsia="Times New Roman" w:hAnsi="inherit" w:cs="Times New Roman"/>
          <w:color w:val="333333"/>
        </w:rPr>
      </w:pPr>
      <w:bookmarkStart w:id="0" w:name="_GoBack"/>
      <w:bookmarkEnd w:id="0"/>
      <w:r w:rsidRPr="003F79C4">
        <w:rPr>
          <w:rFonts w:ascii="inherit" w:eastAsia="Times New Roman" w:hAnsi="inherit" w:cs="Times New Roman"/>
          <w:color w:val="333333"/>
        </w:rPr>
        <w:t> </w:t>
      </w:r>
      <w:r w:rsidRPr="003F79C4">
        <w:rPr>
          <w:rFonts w:ascii="inherit" w:eastAsia="Times New Roman" w:hAnsi="inherit" w:cs="Times New Roman"/>
          <w:color w:val="333333"/>
          <w:bdr w:val="none" w:sz="0" w:space="0" w:color="auto" w:frame="1"/>
        </w:rPr>
        <w:t xml:space="preserve">(a) Any person who </w:t>
      </w:r>
      <w:r w:rsidR="009C3FD7" w:rsidRPr="00C4736E">
        <w:rPr>
          <w:rFonts w:ascii="inherit" w:eastAsia="Times New Roman" w:hAnsi="inherit" w:cs="Times New Roman"/>
          <w:color w:val="FF0000"/>
          <w:u w:val="single"/>
          <w:bdr w:val="none" w:sz="0" w:space="0" w:color="auto" w:frame="1"/>
        </w:rPr>
        <w:t>willfully or recklessly</w:t>
      </w:r>
      <w:r w:rsidRPr="00C4736E">
        <w:rPr>
          <w:rFonts w:ascii="inherit" w:eastAsia="Times New Roman" w:hAnsi="inherit" w:cs="Times New Roman"/>
          <w:strike/>
          <w:color w:val="FF0000"/>
          <w:bdr w:val="none" w:sz="0" w:space="0" w:color="auto" w:frame="1"/>
        </w:rPr>
        <w:t>intentionally</w:t>
      </w:r>
      <w:r w:rsidR="00C4736E">
        <w:rPr>
          <w:rFonts w:ascii="inherit" w:eastAsia="Times New Roman" w:hAnsi="inherit" w:cs="Times New Roman"/>
          <w:color w:val="333333"/>
          <w:bdr w:val="none" w:sz="0" w:space="0" w:color="auto" w:frame="1"/>
        </w:rPr>
        <w:t xml:space="preserve"> </w:t>
      </w:r>
      <w:r w:rsidRPr="003F79C4">
        <w:rPr>
          <w:rFonts w:ascii="inherit" w:eastAsia="Times New Roman" w:hAnsi="inherit" w:cs="Times New Roman"/>
          <w:color w:val="333333"/>
          <w:bdr w:val="none" w:sz="0" w:space="0" w:color="auto" w:frame="1"/>
        </w:rPr>
        <w:t>causes injury </w:t>
      </w:r>
      <w:r w:rsidRPr="00C4736E">
        <w:rPr>
          <w:rFonts w:ascii="inherit" w:eastAsia="Times New Roman" w:hAnsi="inherit" w:cs="Times New Roman"/>
          <w:iCs/>
          <w:bdr w:val="none" w:sz="0" w:space="0" w:color="auto" w:frame="1"/>
        </w:rPr>
        <w:t>to</w:t>
      </w:r>
      <w:r w:rsidRPr="003F79C4">
        <w:rPr>
          <w:rFonts w:ascii="inherit" w:eastAsia="Times New Roman" w:hAnsi="inherit" w:cs="Times New Roman"/>
          <w:i/>
          <w:iCs/>
          <w:color w:val="0000FF"/>
          <w:bdr w:val="none" w:sz="0" w:space="0" w:color="auto" w:frame="1"/>
        </w:rPr>
        <w:t>,</w:t>
      </w:r>
      <w:r w:rsidRPr="003F79C4">
        <w:rPr>
          <w:rFonts w:ascii="inherit" w:eastAsia="Times New Roman" w:hAnsi="inherit" w:cs="Times New Roman"/>
          <w:color w:val="333333"/>
          <w:bdr w:val="none" w:sz="0" w:space="0" w:color="auto" w:frame="1"/>
        </w:rPr>
        <w:t> or the death </w:t>
      </w:r>
      <w:r w:rsidRPr="00C4736E">
        <w:rPr>
          <w:rFonts w:ascii="inherit" w:eastAsia="Times New Roman" w:hAnsi="inherit" w:cs="Times New Roman"/>
          <w:iCs/>
          <w:bdr w:val="none" w:sz="0" w:space="0" w:color="auto" w:frame="1"/>
        </w:rPr>
        <w:t>of</w:t>
      </w:r>
      <w:r w:rsidRPr="003F79C4">
        <w:rPr>
          <w:rFonts w:ascii="inherit" w:eastAsia="Times New Roman" w:hAnsi="inherit" w:cs="Times New Roman"/>
          <w:i/>
          <w:iCs/>
          <w:color w:val="0000FF"/>
          <w:bdr w:val="none" w:sz="0" w:space="0" w:color="auto" w:frame="1"/>
        </w:rPr>
        <w:t>,</w:t>
      </w:r>
      <w:r w:rsidRPr="003F79C4">
        <w:rPr>
          <w:rFonts w:ascii="inherit" w:eastAsia="Times New Roman" w:hAnsi="inherit" w:cs="Times New Roman"/>
          <w:color w:val="333333"/>
          <w:bdr w:val="none" w:sz="0" w:space="0" w:color="auto" w:frame="1"/>
        </w:rPr>
        <w:t> any guide, signal, or service dog, as defined by Section 54.1 of the Civil Code, </w:t>
      </w:r>
      <w:r w:rsidRPr="00C4736E">
        <w:rPr>
          <w:rFonts w:ascii="inherit" w:eastAsia="Times New Roman" w:hAnsi="inherit" w:cs="Times New Roman"/>
          <w:color w:val="FF0000"/>
          <w:u w:val="single"/>
          <w:bdr w:val="none" w:sz="0" w:space="0" w:color="auto" w:frame="1"/>
        </w:rPr>
        <w:t>while under the control of its handler</w:t>
      </w:r>
      <w:r w:rsidR="00C4736E" w:rsidRPr="00C4736E">
        <w:rPr>
          <w:rFonts w:ascii="inherit" w:eastAsia="Times New Roman" w:hAnsi="inherit" w:cs="Times New Roman"/>
          <w:color w:val="FF0000"/>
          <w:bdr w:val="none" w:sz="0" w:space="0" w:color="auto" w:frame="1"/>
        </w:rPr>
        <w:t xml:space="preserve"> </w:t>
      </w:r>
      <w:r w:rsidRPr="00C4736E">
        <w:rPr>
          <w:rFonts w:ascii="inherit" w:eastAsia="Times New Roman" w:hAnsi="inherit" w:cs="Times New Roman"/>
          <w:iCs/>
          <w:bdr w:val="none" w:sz="0" w:space="0" w:color="auto" w:frame="1"/>
        </w:rPr>
        <w:t>is </w:t>
      </w:r>
      <w:r w:rsidRPr="003F79C4">
        <w:rPr>
          <w:rFonts w:ascii="inherit" w:eastAsia="Times New Roman" w:hAnsi="inherit" w:cs="Times New Roman"/>
          <w:color w:val="333333"/>
          <w:bdr w:val="none" w:sz="0" w:space="0" w:color="auto" w:frame="1"/>
        </w:rPr>
        <w:t>guilty of a misdemeanor, punishable by imprisonment in a county jail not exceeding one year, or by a fine not exceeding ten thousand dollars ($10,000), or by both a fine and imprisonment. The court shall consider the costs ordered pursuant to subdivision (b) when determining the amount of any fines.</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color w:val="333333"/>
          <w:bdr w:val="none" w:sz="0" w:space="0" w:color="auto" w:frame="1"/>
        </w:rPr>
        <w:lastRenderedPageBreak/>
        <w:t>(b) </w:t>
      </w:r>
      <w:r w:rsidR="00C4736E" w:rsidRPr="003F79C4">
        <w:rPr>
          <w:rFonts w:ascii="inherit" w:eastAsia="Times New Roman" w:hAnsi="inherit" w:cs="Times New Roman"/>
          <w:i/>
          <w:iCs/>
          <w:color w:val="0000FF"/>
          <w:bdr w:val="none" w:sz="0" w:space="0" w:color="auto" w:frame="1"/>
        </w:rPr>
        <w:t xml:space="preserve"> </w:t>
      </w:r>
      <w:r w:rsidRPr="003F79C4">
        <w:rPr>
          <w:rFonts w:ascii="inherit" w:eastAsia="Times New Roman" w:hAnsi="inherit" w:cs="Times New Roman"/>
          <w:i/>
          <w:iCs/>
          <w:color w:val="0000FF"/>
          <w:bdr w:val="none" w:sz="0" w:space="0" w:color="auto" w:frame="1"/>
        </w:rPr>
        <w:t>A defendant who </w:t>
      </w:r>
      <w:r w:rsidRPr="003F79C4">
        <w:rPr>
          <w:rFonts w:ascii="inherit" w:eastAsia="Times New Roman" w:hAnsi="inherit" w:cs="Times New Roman"/>
          <w:color w:val="333333"/>
          <w:bdr w:val="none" w:sz="0" w:space="0" w:color="auto" w:frame="1"/>
        </w:rPr>
        <w:t> is convicted of a violation of this </w:t>
      </w:r>
      <w:r w:rsidR="00C4736E" w:rsidRPr="003F79C4">
        <w:rPr>
          <w:rFonts w:ascii="inherit" w:eastAsia="Times New Roman" w:hAnsi="inherit" w:cs="Times New Roman"/>
          <w:i/>
          <w:iCs/>
          <w:color w:val="0000FF"/>
          <w:bdr w:val="none" w:sz="0" w:space="0" w:color="auto" w:frame="1"/>
        </w:rPr>
        <w:t xml:space="preserve"> </w:t>
      </w:r>
      <w:r w:rsidRPr="003F79C4">
        <w:rPr>
          <w:rFonts w:ascii="inherit" w:eastAsia="Times New Roman" w:hAnsi="inherit" w:cs="Times New Roman"/>
          <w:i/>
          <w:iCs/>
          <w:color w:val="0000FF"/>
          <w:bdr w:val="none" w:sz="0" w:space="0" w:color="auto" w:frame="1"/>
        </w:rPr>
        <w:t>section </w:t>
      </w:r>
      <w:r w:rsidRPr="003F79C4">
        <w:rPr>
          <w:rFonts w:ascii="inherit" w:eastAsia="Times New Roman" w:hAnsi="inherit" w:cs="Times New Roman"/>
          <w:color w:val="333333"/>
          <w:bdr w:val="none" w:sz="0" w:space="0" w:color="auto" w:frame="1"/>
        </w:rPr>
        <w:t> shall be ordered to make restitution to the person with a disability who has custody or ownership of the dog for any veterinary bills and replacement costs of the dog if it is disabled or killed, </w:t>
      </w:r>
      <w:r w:rsidRPr="003F79C4">
        <w:rPr>
          <w:rFonts w:ascii="inherit" w:eastAsia="Times New Roman" w:hAnsi="inherit" w:cs="Times New Roman"/>
          <w:i/>
          <w:iCs/>
          <w:color w:val="0000FF"/>
          <w:bdr w:val="none" w:sz="0" w:space="0" w:color="auto" w:frame="1"/>
        </w:rPr>
        <w:t>medical or medical-related expenses incurred by the person with a disability as a direct result of a violation of this section, loss of wages or income incurred by the person with a disability as a direct result of a violation of this section, or </w:t>
      </w:r>
      <w:r w:rsidRPr="003F79C4">
        <w:rPr>
          <w:rFonts w:ascii="inherit" w:eastAsia="Times New Roman" w:hAnsi="inherit" w:cs="Times New Roman"/>
          <w:color w:val="333333"/>
          <w:bdr w:val="none" w:sz="0" w:space="0" w:color="auto" w:frame="1"/>
        </w:rPr>
        <w:t> other reasonable costs deemed appropriate by the court. The costs ordered pursuant to this subdivision shall be paid prior to any fines. The person with the disability may apply for compensation by the California Victim Compensation and Government Claims Board pursuant to Chapter 5 (commencing with Section 13950) of Part 4 of Division 3 of Title 2 of the Government Code, in an amount not to exceed ten thousand dollars ($10,000).</w:t>
      </w:r>
    </w:p>
    <w:p w:rsidR="003F79C4" w:rsidRPr="003F79C4" w:rsidRDefault="003F79C4" w:rsidP="003F79C4">
      <w:pPr>
        <w:spacing w:line="330" w:lineRule="atLeast"/>
        <w:jc w:val="both"/>
        <w:textAlignment w:val="baseline"/>
        <w:rPr>
          <w:rFonts w:ascii="inherit" w:eastAsia="Times New Roman" w:hAnsi="inherit" w:cs="Times New Roman"/>
          <w:color w:val="333333"/>
        </w:rPr>
      </w:pPr>
      <w:r w:rsidRPr="003F79C4">
        <w:rPr>
          <w:rFonts w:ascii="inherit" w:eastAsia="Times New Roman" w:hAnsi="inherit" w:cs="Times New Roman"/>
          <w:i/>
          <w:iCs/>
          <w:color w:val="0000FF"/>
          <w:bdr w:val="none" w:sz="0" w:space="0" w:color="auto" w:frame="1"/>
        </w:rPr>
        <w:t>(c) For the purpose of this section, a “guide, signal, or service dog” also includes a dog enrolled in a training school or program, located in this state, for guide, signal, or service dogs.</w:t>
      </w:r>
    </w:p>
    <w:p w:rsidR="003F79C4" w:rsidRPr="003F79C4" w:rsidRDefault="003F79C4" w:rsidP="003F79C4">
      <w:pPr>
        <w:spacing w:after="0" w:line="240" w:lineRule="auto"/>
        <w:jc w:val="both"/>
        <w:textAlignment w:val="baseline"/>
        <w:outlineLvl w:val="5"/>
        <w:rPr>
          <w:rFonts w:ascii="Arial" w:eastAsia="Times New Roman" w:hAnsi="Arial" w:cs="Arial"/>
          <w:b/>
          <w:bCs/>
          <w:i/>
          <w:iCs/>
          <w:color w:val="0000FF"/>
          <w:bdr w:val="none" w:sz="0" w:space="0" w:color="auto" w:frame="1"/>
        </w:rPr>
      </w:pPr>
      <w:proofErr w:type="gramStart"/>
      <w:r w:rsidRPr="003F79C4">
        <w:rPr>
          <w:rFonts w:ascii="inherit" w:eastAsia="Times New Roman" w:hAnsi="inherit" w:cs="Arial"/>
          <w:b/>
          <w:bCs/>
          <w:i/>
          <w:iCs/>
          <w:color w:val="0000FF"/>
          <w:bdr w:val="none" w:sz="0" w:space="0" w:color="auto" w:frame="1"/>
        </w:rPr>
        <w:t>SEC. 3.</w:t>
      </w:r>
      <w:proofErr w:type="gramEnd"/>
    </w:p>
    <w:p w:rsidR="003F79C4" w:rsidRPr="003F79C4" w:rsidRDefault="003F79C4" w:rsidP="003F79C4">
      <w:pPr>
        <w:spacing w:line="330" w:lineRule="atLeast"/>
        <w:jc w:val="both"/>
        <w:textAlignment w:val="baseline"/>
        <w:rPr>
          <w:rFonts w:ascii="inherit" w:eastAsia="Times New Roman" w:hAnsi="inherit" w:cs="Times New Roman"/>
          <w:i/>
          <w:iCs/>
          <w:color w:val="0000FF"/>
          <w:bdr w:val="none" w:sz="0" w:space="0" w:color="auto" w:frame="1"/>
        </w:rPr>
      </w:pPr>
      <w:r w:rsidRPr="003F79C4">
        <w:rPr>
          <w:rFonts w:ascii="inherit" w:eastAsia="Times New Roman" w:hAnsi="inherit" w:cs="Times New Roman"/>
          <w:i/>
          <w:iCs/>
          <w:color w:val="0000FF"/>
          <w:bdr w:val="none" w:sz="0" w:space="0" w:color="auto" w:frame="1"/>
        </w:rPr>
        <w:t> No reimbursement is required by this act pursuant to Section 6 of Article XIII B of the California Constitution because the only costs that may be incurred by a local agency or school district will be incurred because this act creates a new crime or infraction, eliminates a crime or infraction, or changes the penalty for a crime or infraction, within the meaning of Section 17556 of the Government Code, or changes the definition of a crime within the meaning of Section 6 of Article XIII B of the California Constitution.</w:t>
      </w:r>
    </w:p>
    <w:p w:rsidR="004C246A" w:rsidRDefault="004C246A"/>
    <w:sectPr w:rsidR="004C24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9C4"/>
    <w:rsid w:val="00212938"/>
    <w:rsid w:val="003F79C4"/>
    <w:rsid w:val="004C246A"/>
    <w:rsid w:val="009C3FD7"/>
    <w:rsid w:val="00C47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9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9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871084">
      <w:bodyDiv w:val="1"/>
      <w:marLeft w:val="0"/>
      <w:marRight w:val="0"/>
      <w:marTop w:val="0"/>
      <w:marBottom w:val="0"/>
      <w:divBdr>
        <w:top w:val="none" w:sz="0" w:space="0" w:color="auto"/>
        <w:left w:val="none" w:sz="0" w:space="0" w:color="auto"/>
        <w:bottom w:val="none" w:sz="0" w:space="0" w:color="auto"/>
        <w:right w:val="none" w:sz="0" w:space="0" w:color="auto"/>
      </w:divBdr>
      <w:divsChild>
        <w:div w:id="1626503850">
          <w:marLeft w:val="0"/>
          <w:marRight w:val="0"/>
          <w:marTop w:val="0"/>
          <w:marBottom w:val="0"/>
          <w:divBdr>
            <w:top w:val="none" w:sz="0" w:space="0" w:color="auto"/>
            <w:left w:val="none" w:sz="0" w:space="0" w:color="auto"/>
            <w:bottom w:val="none" w:sz="0" w:space="0" w:color="auto"/>
            <w:right w:val="none" w:sz="0" w:space="0" w:color="auto"/>
          </w:divBdr>
        </w:div>
        <w:div w:id="642807794">
          <w:marLeft w:val="0"/>
          <w:marRight w:val="0"/>
          <w:marTop w:val="0"/>
          <w:marBottom w:val="0"/>
          <w:divBdr>
            <w:top w:val="none" w:sz="0" w:space="0" w:color="auto"/>
            <w:left w:val="none" w:sz="0" w:space="0" w:color="auto"/>
            <w:bottom w:val="none" w:sz="0" w:space="0" w:color="auto"/>
            <w:right w:val="none" w:sz="0" w:space="0" w:color="auto"/>
          </w:divBdr>
          <w:divsChild>
            <w:div w:id="862354101">
              <w:marLeft w:val="0"/>
              <w:marRight w:val="0"/>
              <w:marTop w:val="0"/>
              <w:marBottom w:val="0"/>
              <w:divBdr>
                <w:top w:val="none" w:sz="0" w:space="0" w:color="auto"/>
                <w:left w:val="none" w:sz="0" w:space="0" w:color="auto"/>
                <w:bottom w:val="none" w:sz="0" w:space="0" w:color="auto"/>
                <w:right w:val="none" w:sz="0" w:space="0" w:color="auto"/>
              </w:divBdr>
              <w:divsChild>
                <w:div w:id="1010185581">
                  <w:marLeft w:val="0"/>
                  <w:marRight w:val="0"/>
                  <w:marTop w:val="0"/>
                  <w:marBottom w:val="0"/>
                  <w:divBdr>
                    <w:top w:val="none" w:sz="0" w:space="0" w:color="auto"/>
                    <w:left w:val="none" w:sz="0" w:space="0" w:color="auto"/>
                    <w:bottom w:val="none" w:sz="0" w:space="0" w:color="auto"/>
                    <w:right w:val="none" w:sz="0" w:space="0" w:color="auto"/>
                  </w:divBdr>
                  <w:divsChild>
                    <w:div w:id="1036078887">
                      <w:marLeft w:val="0"/>
                      <w:marRight w:val="0"/>
                      <w:marTop w:val="0"/>
                      <w:marBottom w:val="0"/>
                      <w:divBdr>
                        <w:top w:val="none" w:sz="0" w:space="0" w:color="auto"/>
                        <w:left w:val="none" w:sz="0" w:space="0" w:color="auto"/>
                        <w:bottom w:val="none" w:sz="0" w:space="0" w:color="auto"/>
                        <w:right w:val="none" w:sz="0" w:space="0" w:color="auto"/>
                      </w:divBdr>
                      <w:divsChild>
                        <w:div w:id="1999309422">
                          <w:marLeft w:val="0"/>
                          <w:marRight w:val="0"/>
                          <w:marTop w:val="0"/>
                          <w:marBottom w:val="240"/>
                          <w:divBdr>
                            <w:top w:val="none" w:sz="0" w:space="0" w:color="auto"/>
                            <w:left w:val="none" w:sz="0" w:space="0" w:color="auto"/>
                            <w:bottom w:val="none" w:sz="0" w:space="0" w:color="auto"/>
                            <w:right w:val="none" w:sz="0" w:space="0" w:color="auto"/>
                          </w:divBdr>
                        </w:div>
                        <w:div w:id="966743722">
                          <w:marLeft w:val="0"/>
                          <w:marRight w:val="0"/>
                          <w:marTop w:val="0"/>
                          <w:marBottom w:val="240"/>
                          <w:divBdr>
                            <w:top w:val="none" w:sz="0" w:space="0" w:color="auto"/>
                            <w:left w:val="none" w:sz="0" w:space="0" w:color="auto"/>
                            <w:bottom w:val="none" w:sz="0" w:space="0" w:color="auto"/>
                            <w:right w:val="none" w:sz="0" w:space="0" w:color="auto"/>
                          </w:divBdr>
                        </w:div>
                        <w:div w:id="1755861792">
                          <w:marLeft w:val="0"/>
                          <w:marRight w:val="0"/>
                          <w:marTop w:val="0"/>
                          <w:marBottom w:val="240"/>
                          <w:divBdr>
                            <w:top w:val="none" w:sz="0" w:space="0" w:color="auto"/>
                            <w:left w:val="none" w:sz="0" w:space="0" w:color="auto"/>
                            <w:bottom w:val="none" w:sz="0" w:space="0" w:color="auto"/>
                            <w:right w:val="none" w:sz="0" w:space="0" w:color="auto"/>
                          </w:divBdr>
                        </w:div>
                        <w:div w:id="457722859">
                          <w:marLeft w:val="0"/>
                          <w:marRight w:val="0"/>
                          <w:marTop w:val="0"/>
                          <w:marBottom w:val="240"/>
                          <w:divBdr>
                            <w:top w:val="none" w:sz="0" w:space="0" w:color="auto"/>
                            <w:left w:val="none" w:sz="0" w:space="0" w:color="auto"/>
                            <w:bottom w:val="none" w:sz="0" w:space="0" w:color="auto"/>
                            <w:right w:val="none" w:sz="0" w:space="0" w:color="auto"/>
                          </w:divBdr>
                        </w:div>
                        <w:div w:id="2307746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57762990">
          <w:marLeft w:val="0"/>
          <w:marRight w:val="0"/>
          <w:marTop w:val="0"/>
          <w:marBottom w:val="0"/>
          <w:divBdr>
            <w:top w:val="none" w:sz="0" w:space="0" w:color="auto"/>
            <w:left w:val="none" w:sz="0" w:space="0" w:color="auto"/>
            <w:bottom w:val="none" w:sz="0" w:space="0" w:color="auto"/>
            <w:right w:val="none" w:sz="0" w:space="0" w:color="auto"/>
          </w:divBdr>
        </w:div>
        <w:div w:id="1255431820">
          <w:marLeft w:val="0"/>
          <w:marRight w:val="0"/>
          <w:marTop w:val="0"/>
          <w:marBottom w:val="0"/>
          <w:divBdr>
            <w:top w:val="none" w:sz="0" w:space="0" w:color="auto"/>
            <w:left w:val="none" w:sz="0" w:space="0" w:color="auto"/>
            <w:bottom w:val="none" w:sz="0" w:space="0" w:color="auto"/>
            <w:right w:val="none" w:sz="0" w:space="0" w:color="auto"/>
          </w:divBdr>
          <w:divsChild>
            <w:div w:id="629359082">
              <w:marLeft w:val="0"/>
              <w:marRight w:val="0"/>
              <w:marTop w:val="0"/>
              <w:marBottom w:val="0"/>
              <w:divBdr>
                <w:top w:val="none" w:sz="0" w:space="0" w:color="auto"/>
                <w:left w:val="none" w:sz="0" w:space="0" w:color="auto"/>
                <w:bottom w:val="none" w:sz="0" w:space="0" w:color="auto"/>
                <w:right w:val="none" w:sz="0" w:space="0" w:color="auto"/>
              </w:divBdr>
              <w:divsChild>
                <w:div w:id="221524856">
                  <w:marLeft w:val="0"/>
                  <w:marRight w:val="0"/>
                  <w:marTop w:val="0"/>
                  <w:marBottom w:val="0"/>
                  <w:divBdr>
                    <w:top w:val="none" w:sz="0" w:space="0" w:color="auto"/>
                    <w:left w:val="none" w:sz="0" w:space="0" w:color="auto"/>
                    <w:bottom w:val="none" w:sz="0" w:space="0" w:color="auto"/>
                    <w:right w:val="none" w:sz="0" w:space="0" w:color="auto"/>
                  </w:divBdr>
                  <w:divsChild>
                    <w:div w:id="947933083">
                      <w:marLeft w:val="0"/>
                      <w:marRight w:val="0"/>
                      <w:marTop w:val="0"/>
                      <w:marBottom w:val="0"/>
                      <w:divBdr>
                        <w:top w:val="none" w:sz="0" w:space="0" w:color="auto"/>
                        <w:left w:val="none" w:sz="0" w:space="0" w:color="auto"/>
                        <w:bottom w:val="none" w:sz="0" w:space="0" w:color="auto"/>
                        <w:right w:val="none" w:sz="0" w:space="0" w:color="auto"/>
                      </w:divBdr>
                      <w:divsChild>
                        <w:div w:id="819541164">
                          <w:marLeft w:val="0"/>
                          <w:marRight w:val="0"/>
                          <w:marTop w:val="0"/>
                          <w:marBottom w:val="240"/>
                          <w:divBdr>
                            <w:top w:val="none" w:sz="0" w:space="0" w:color="auto"/>
                            <w:left w:val="none" w:sz="0" w:space="0" w:color="auto"/>
                            <w:bottom w:val="none" w:sz="0" w:space="0" w:color="auto"/>
                            <w:right w:val="none" w:sz="0" w:space="0" w:color="auto"/>
                          </w:divBdr>
                        </w:div>
                        <w:div w:id="1160269633">
                          <w:marLeft w:val="0"/>
                          <w:marRight w:val="0"/>
                          <w:marTop w:val="0"/>
                          <w:marBottom w:val="240"/>
                          <w:divBdr>
                            <w:top w:val="none" w:sz="0" w:space="0" w:color="auto"/>
                            <w:left w:val="none" w:sz="0" w:space="0" w:color="auto"/>
                            <w:bottom w:val="none" w:sz="0" w:space="0" w:color="auto"/>
                            <w:right w:val="none" w:sz="0" w:space="0" w:color="auto"/>
                          </w:divBdr>
                        </w:div>
                        <w:div w:id="4091075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376785341">
          <w:marLeft w:val="0"/>
          <w:marRight w:val="0"/>
          <w:marTop w:val="0"/>
          <w:marBottom w:val="0"/>
          <w:divBdr>
            <w:top w:val="none" w:sz="0" w:space="0" w:color="auto"/>
            <w:left w:val="none" w:sz="0" w:space="0" w:color="auto"/>
            <w:bottom w:val="none" w:sz="0" w:space="0" w:color="auto"/>
            <w:right w:val="none" w:sz="0" w:space="0" w:color="auto"/>
          </w:divBdr>
          <w:divsChild>
            <w:div w:id="14591798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5564</TotalTime>
  <Pages>2</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2</cp:revision>
  <cp:lastPrinted>2016-04-14T20:03:00Z</cp:lastPrinted>
  <dcterms:created xsi:type="dcterms:W3CDTF">2016-04-14T20:01:00Z</dcterms:created>
  <dcterms:modified xsi:type="dcterms:W3CDTF">2016-05-04T19:14:00Z</dcterms:modified>
</cp:coreProperties>
</file>